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E6" w14:textId="280F7935" w:rsidR="0012338B" w:rsidRPr="001E7B7E" w:rsidRDefault="00ED219D" w:rsidP="001E7B7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1E7B7E">
        <w:rPr>
          <w:rFonts w:ascii="Times New Roman" w:eastAsia="標楷體" w:hAnsi="Times New Roman" w:cs="Times New Roman" w:hint="eastAsia"/>
          <w:b/>
          <w:sz w:val="28"/>
          <w:u w:val="single"/>
        </w:rPr>
        <w:t>生物與永續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476819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</w:p>
    <w:p w14:paraId="6D4468BB" w14:textId="64839C49" w:rsidR="00EF4FB9" w:rsidRPr="00ED219D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3A31" w14:textId="77777777" w:rsidR="003D4389" w:rsidRDefault="003D4389" w:rsidP="00BD2223">
      <w:r>
        <w:separator/>
      </w:r>
    </w:p>
  </w:endnote>
  <w:endnote w:type="continuationSeparator" w:id="0">
    <w:p w14:paraId="10A75BCF" w14:textId="77777777" w:rsidR="003D4389" w:rsidRDefault="003D4389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0F43" w14:textId="77777777" w:rsidR="003D4389" w:rsidRDefault="003D4389" w:rsidP="00BD2223">
      <w:r>
        <w:separator/>
      </w:r>
    </w:p>
  </w:footnote>
  <w:footnote w:type="continuationSeparator" w:id="0">
    <w:p w14:paraId="2D6D692E" w14:textId="77777777" w:rsidR="003D4389" w:rsidRDefault="003D4389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3253B7"/>
    <w:rsid w:val="00362E00"/>
    <w:rsid w:val="003A2EA2"/>
    <w:rsid w:val="003D4389"/>
    <w:rsid w:val="00427A51"/>
    <w:rsid w:val="00476819"/>
    <w:rsid w:val="004A02DC"/>
    <w:rsid w:val="00556EB8"/>
    <w:rsid w:val="005F60C2"/>
    <w:rsid w:val="006747B2"/>
    <w:rsid w:val="006931EB"/>
    <w:rsid w:val="006B25F6"/>
    <w:rsid w:val="007603B1"/>
    <w:rsid w:val="007E3E51"/>
    <w:rsid w:val="00807C02"/>
    <w:rsid w:val="00814BBB"/>
    <w:rsid w:val="00837263"/>
    <w:rsid w:val="0085038B"/>
    <w:rsid w:val="009C438E"/>
    <w:rsid w:val="00B06B20"/>
    <w:rsid w:val="00B071B5"/>
    <w:rsid w:val="00B641A4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1123</Words>
  <Characters>237</Characters>
  <Application>Microsoft Office Word</Application>
  <DocSecurity>0</DocSecurity>
  <Lines>1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2024-05-09T03:07:00Z</dcterms:created>
  <dcterms:modified xsi:type="dcterms:W3CDTF">2025-09-23T08:31:00Z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